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3BAA" w:rsidRDefault="005043E2">
      <w:pPr>
        <w:tabs>
          <w:tab w:val="right" w:pos="999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The Harvard Historical Commission is chartered “…to preserve and protect the historic assets of Harvard, its buildings, structures, places, sites, and surrounding settings of historical or architectural significance.”</w:t>
      </w:r>
    </w:p>
    <w:p w:rsidR="001E3BAA" w:rsidRDefault="005043E2">
      <w:pPr>
        <w:tabs>
          <w:tab w:val="right" w:pos="9990"/>
        </w:tabs>
        <w:jc w:val="center"/>
      </w:pPr>
      <w:r>
        <w:t>____________</w:t>
      </w:r>
    </w:p>
    <w:p w:rsidR="001E3BAA" w:rsidRDefault="001E3BAA">
      <w:pPr>
        <w:tabs>
          <w:tab w:val="right" w:pos="9990"/>
        </w:tabs>
        <w:spacing w:after="120"/>
        <w:rPr>
          <w:sz w:val="18"/>
          <w:szCs w:val="18"/>
        </w:rPr>
      </w:pPr>
    </w:p>
    <w:p w:rsidR="001E3BAA" w:rsidRDefault="005043E2">
      <w:pPr>
        <w:tabs>
          <w:tab w:val="right" w:pos="99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Following is the agenda for the regular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meeting of the Harvard Historical Commission in the Volunteer Room at the Town Hall, on Dec 6, 2017 at 7:00pm.</w:t>
      </w:r>
    </w:p>
    <w:p w:rsidR="001E3BAA" w:rsidRDefault="005043E2">
      <w:pPr>
        <w:tabs>
          <w:tab w:val="right" w:pos="9990"/>
        </w:tabs>
        <w:spacing w:after="1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Items in red require a vote</w:t>
      </w:r>
    </w:p>
    <w:p w:rsidR="001E3BAA" w:rsidRDefault="001E3BAA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</w:p>
    <w:p w:rsidR="001E3BAA" w:rsidRDefault="005043E2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TOPICS:</w:t>
      </w:r>
      <w:r>
        <w:rPr>
          <w:b/>
          <w:sz w:val="18"/>
          <w:szCs w:val="18"/>
        </w:rPr>
        <w:tab/>
        <w:t xml:space="preserve">            </w:t>
      </w:r>
    </w:p>
    <w:p w:rsidR="001E3BAA" w:rsidRDefault="005043E2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CALL TO ORDER: </w:t>
      </w:r>
      <w:r>
        <w:rPr>
          <w:b/>
          <w:sz w:val="18"/>
          <w:szCs w:val="18"/>
        </w:rPr>
        <w:tab/>
        <w:t xml:space="preserve">    7:00</w:t>
      </w: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MEMBERS IN ATTENDANCE:  </w:t>
      </w: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  <w:sectPr w:rsidR="001E3B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32" w:right="432" w:bottom="432" w:left="432" w:header="0" w:footer="720" w:gutter="0"/>
          <w:pgNumType w:start="1"/>
          <w:cols w:space="720"/>
        </w:sectPr>
      </w:pPr>
      <w:r>
        <w:rPr>
          <w:b/>
          <w:sz w:val="18"/>
          <w:szCs w:val="18"/>
        </w:rPr>
        <w:tab/>
      </w: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Steve Nigzus</w:t>
      </w:r>
      <w:r>
        <w:rPr>
          <w:sz w:val="18"/>
          <w:szCs w:val="18"/>
        </w:rPr>
        <w:br/>
        <w:t>George Triantaris</w:t>
      </w:r>
      <w:r>
        <w:rPr>
          <w:sz w:val="18"/>
          <w:szCs w:val="18"/>
        </w:rPr>
        <w:br/>
        <w:t>Daria Swanton</w:t>
      </w: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Aron Clarke</w:t>
      </w: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Pam Marston (Secretary)</w:t>
      </w: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Emanuel Lindo</w:t>
      </w:r>
      <w:r>
        <w:rPr>
          <w:sz w:val="18"/>
          <w:szCs w:val="18"/>
        </w:rPr>
        <w:br/>
        <w:t>Ben Guthro  (Chair)</w:t>
      </w: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  <w:sectPr w:rsidR="001E3BAA">
          <w:type w:val="continuous"/>
          <w:pgSz w:w="12240" w:h="15840"/>
          <w:pgMar w:top="432" w:right="432" w:bottom="432" w:left="432" w:header="0" w:footer="720" w:gutter="0"/>
          <w:cols w:num="2" w:space="720" w:equalWidth="0">
            <w:col w:w="5328" w:space="720"/>
            <w:col w:w="5328" w:space="0"/>
          </w:cols>
        </w:sectPr>
      </w:pPr>
      <w:r>
        <w:rPr>
          <w:sz w:val="18"/>
          <w:szCs w:val="18"/>
        </w:rPr>
        <w:t>David Vannicola (Vice-Chair</w:t>
      </w:r>
    </w:p>
    <w:p w:rsidR="001E3BAA" w:rsidRDefault="001E3BAA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AUDIENCE:</w:t>
      </w: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Jefferson Burson - interested in becoming alternate</w:t>
      </w:r>
    </w:p>
    <w:p w:rsidR="001E3BAA" w:rsidRDefault="001E3BAA">
      <w:pPr>
        <w:tabs>
          <w:tab w:val="left" w:pos="720"/>
          <w:tab w:val="right" w:pos="924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REVIEW/APPROVE MINUTES OF LAST MEETING:       </w:t>
      </w:r>
      <w:r>
        <w:rPr>
          <w:b/>
          <w:sz w:val="18"/>
          <w:szCs w:val="18"/>
        </w:rPr>
        <w:tab/>
      </w:r>
      <w:r>
        <w:rPr>
          <w:color w:val="FF0000"/>
          <w:sz w:val="18"/>
          <w:szCs w:val="18"/>
        </w:rPr>
        <w:t>Vote needed</w:t>
      </w: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REVIEW/APPROVE MINUTES OF SPECIAL 11/06 MEETING:       </w:t>
      </w:r>
      <w:r>
        <w:rPr>
          <w:b/>
          <w:sz w:val="18"/>
          <w:szCs w:val="18"/>
        </w:rPr>
        <w:tab/>
      </w:r>
      <w:r>
        <w:rPr>
          <w:color w:val="FF0000"/>
          <w:sz w:val="18"/>
          <w:szCs w:val="18"/>
        </w:rPr>
        <w:t>Vote needed</w:t>
      </w: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>PUBLIC HEARING: (</w:t>
      </w:r>
      <w:r>
        <w:rPr>
          <w:sz w:val="18"/>
          <w:szCs w:val="18"/>
        </w:rPr>
        <w:t>None)</w:t>
      </w:r>
    </w:p>
    <w:p w:rsidR="001E3BAA" w:rsidRDefault="005043E2">
      <w:pPr>
        <w:tabs>
          <w:tab w:val="left" w:pos="720"/>
          <w:tab w:val="right" w:pos="9990"/>
          <w:tab w:val="right" w:pos="10080"/>
        </w:tabs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NEW APPLICA</w:t>
      </w:r>
      <w:r>
        <w:rPr>
          <w:b/>
          <w:sz w:val="18"/>
          <w:szCs w:val="18"/>
        </w:rPr>
        <w:t>TIONS APPROVED: (</w:t>
      </w:r>
      <w:r>
        <w:rPr>
          <w:sz w:val="18"/>
          <w:szCs w:val="18"/>
        </w:rPr>
        <w:t>None)</w:t>
      </w:r>
      <w:r>
        <w:rPr>
          <w:b/>
          <w:sz w:val="18"/>
          <w:szCs w:val="18"/>
        </w:rPr>
        <w:tab/>
      </w: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NEW APPLICATIONS: </w:t>
      </w:r>
      <w:r>
        <w:rPr>
          <w:sz w:val="18"/>
          <w:szCs w:val="18"/>
        </w:rPr>
        <w:t xml:space="preserve"> (None)</w:t>
      </w:r>
      <w:r>
        <w:rPr>
          <w:color w:val="FF0000"/>
          <w:sz w:val="18"/>
          <w:szCs w:val="18"/>
        </w:rPr>
        <w:tab/>
        <w:t xml:space="preserve">     </w:t>
      </w:r>
      <w:r>
        <w:rPr>
          <w:color w:val="FF0000"/>
          <w:sz w:val="18"/>
          <w:szCs w:val="18"/>
        </w:rPr>
        <w:tab/>
      </w: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ON-GOING APPLICATIONS: </w:t>
      </w:r>
      <w:r>
        <w:rPr>
          <w:sz w:val="18"/>
          <w:szCs w:val="18"/>
        </w:rPr>
        <w:t>(None)</w:t>
      </w:r>
      <w:r>
        <w:rPr>
          <w:color w:val="FF0000"/>
          <w:sz w:val="18"/>
          <w:szCs w:val="18"/>
        </w:rPr>
        <w:tab/>
        <w:t xml:space="preserve">     </w:t>
      </w:r>
      <w:r>
        <w:rPr>
          <w:color w:val="FF0000"/>
          <w:sz w:val="18"/>
          <w:szCs w:val="18"/>
        </w:rPr>
        <w:tab/>
      </w:r>
    </w:p>
    <w:p w:rsidR="001E3BAA" w:rsidRDefault="005043E2">
      <w:pPr>
        <w:tabs>
          <w:tab w:val="left" w:pos="72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NEW BUSINESS: </w:t>
      </w:r>
      <w:r>
        <w:rPr>
          <w:sz w:val="18"/>
          <w:szCs w:val="18"/>
        </w:rPr>
        <w:t>(None)</w:t>
      </w:r>
    </w:p>
    <w:p w:rsidR="001E3BAA" w:rsidRDefault="001E3BAA">
      <w:pPr>
        <w:tabs>
          <w:tab w:val="left" w:pos="720"/>
          <w:tab w:val="right" w:pos="9990"/>
        </w:tabs>
        <w:rPr>
          <w:b/>
          <w:sz w:val="18"/>
          <w:szCs w:val="18"/>
        </w:rPr>
      </w:pPr>
    </w:p>
    <w:p w:rsidR="001E3BAA" w:rsidRDefault="005043E2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ON-GOING BUSINESS:                                                                                                           </w:t>
      </w:r>
    </w:p>
    <w:p w:rsidR="001E3BAA" w:rsidRDefault="005043E2">
      <w:pPr>
        <w:numPr>
          <w:ilvl w:val="0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Bromfield wall</w:t>
      </w:r>
      <w:r>
        <w:rPr>
          <w:sz w:val="18"/>
          <w:szCs w:val="18"/>
        </w:rPr>
        <w:t xml:space="preserve"> rebuild (EL)</w:t>
      </w:r>
    </w:p>
    <w:p w:rsidR="001E3BAA" w:rsidRDefault="005043E2">
      <w:pPr>
        <w:numPr>
          <w:ilvl w:val="0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Historic District Signage (EL)</w:t>
      </w:r>
    </w:p>
    <w:p w:rsidR="001E3BAA" w:rsidRDefault="001E3BAA">
      <w:pPr>
        <w:tabs>
          <w:tab w:val="left" w:pos="72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:rsidR="001E3BAA" w:rsidRDefault="005043E2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CORRESPONDENCE:</w:t>
      </w:r>
    </w:p>
    <w:p w:rsidR="001E3BAA" w:rsidRDefault="005043E2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Mark </w:t>
      </w:r>
      <w:r>
        <w:rPr>
          <w:rFonts w:ascii="Arial" w:eastAsia="Arial" w:hAnsi="Arial" w:cs="Arial"/>
          <w:sz w:val="19"/>
          <w:szCs w:val="19"/>
          <w:highlight w:val="white"/>
        </w:rPr>
        <w:t>Mikitarian - MCFF grant support letter</w:t>
      </w:r>
    </w:p>
    <w:p w:rsidR="001E3BAA" w:rsidRDefault="001E3BAA">
      <w:pPr>
        <w:tabs>
          <w:tab w:val="left" w:pos="720"/>
          <w:tab w:val="right" w:pos="9990"/>
        </w:tabs>
        <w:rPr>
          <w:b/>
          <w:sz w:val="18"/>
          <w:szCs w:val="18"/>
        </w:rPr>
      </w:pPr>
    </w:p>
    <w:p w:rsidR="001E3BAA" w:rsidRDefault="005043E2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REPORTS FROM COMMITTEES AND LIAISONS:                                                                      </w:t>
      </w:r>
    </w:p>
    <w:p w:rsidR="001E3BAA" w:rsidRDefault="005043E2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 xml:space="preserve">Monument Committee </w:t>
      </w:r>
      <w:r>
        <w:rPr>
          <w:sz w:val="18"/>
          <w:szCs w:val="18"/>
        </w:rPr>
        <w:t xml:space="preserve"> (DV)</w:t>
      </w:r>
    </w:p>
    <w:p w:rsidR="001E3BAA" w:rsidRDefault="005043E2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CPC</w:t>
      </w:r>
      <w:r>
        <w:rPr>
          <w:sz w:val="18"/>
          <w:szCs w:val="18"/>
        </w:rPr>
        <w:t xml:space="preserve"> (PM) </w:t>
      </w:r>
    </w:p>
    <w:p w:rsidR="001E3BAA" w:rsidRDefault="005043E2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Cemetery Commission (</w:t>
      </w:r>
      <w:r>
        <w:rPr>
          <w:sz w:val="18"/>
          <w:szCs w:val="18"/>
        </w:rPr>
        <w:t>DS)</w:t>
      </w:r>
    </w:p>
    <w:p w:rsidR="001E3BAA" w:rsidRDefault="005043E2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 xml:space="preserve">Demolition Delay Committee </w:t>
      </w:r>
      <w:r>
        <w:rPr>
          <w:sz w:val="18"/>
          <w:szCs w:val="18"/>
        </w:rPr>
        <w:t>(PM)</w:t>
      </w:r>
    </w:p>
    <w:p w:rsidR="001E3BAA" w:rsidRDefault="001E3BAA">
      <w:pPr>
        <w:tabs>
          <w:tab w:val="left" w:pos="720"/>
          <w:tab w:val="left" w:pos="1440"/>
          <w:tab w:val="right" w:pos="9240"/>
          <w:tab w:val="right" w:pos="9990"/>
        </w:tabs>
        <w:rPr>
          <w:sz w:val="18"/>
          <w:szCs w:val="18"/>
        </w:rPr>
      </w:pP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color w:val="FF0000"/>
          <w:sz w:val="18"/>
          <w:szCs w:val="18"/>
        </w:rPr>
        <w:t xml:space="preserve">                                             </w:t>
      </w:r>
    </w:p>
    <w:p w:rsidR="001E3BAA" w:rsidRDefault="001E3BAA">
      <w:pPr>
        <w:tabs>
          <w:tab w:val="left" w:pos="720"/>
          <w:tab w:val="right" w:pos="9240"/>
          <w:tab w:val="right" w:pos="9990"/>
        </w:tabs>
        <w:ind w:left="720"/>
        <w:rPr>
          <w:sz w:val="18"/>
          <w:szCs w:val="18"/>
        </w:rPr>
      </w:pPr>
    </w:p>
    <w:p w:rsidR="001E3BAA" w:rsidRDefault="005043E2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PUBLIC COMMENTARY </w:t>
      </w:r>
    </w:p>
    <w:p w:rsidR="001E3BAA" w:rsidRDefault="005043E2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EXECUTIVE SESSION </w:t>
      </w:r>
      <w:r>
        <w:rPr>
          <w:sz w:val="18"/>
          <w:szCs w:val="18"/>
        </w:rPr>
        <w:t>None</w:t>
      </w:r>
    </w:p>
    <w:p w:rsidR="001E3BAA" w:rsidRDefault="001E3BAA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SET DATE FOR NEXT MEETING:   </w:t>
      </w:r>
      <w:r>
        <w:rPr>
          <w:sz w:val="18"/>
          <w:szCs w:val="18"/>
        </w:rPr>
        <w:t>Jan 3, 2018</w:t>
      </w:r>
    </w:p>
    <w:p w:rsidR="001E3BAA" w:rsidRDefault="001E3BAA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1E3BAA" w:rsidRDefault="001E3BAA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1E3BAA" w:rsidRDefault="005043E2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  <w:r>
        <w:rPr>
          <w:b/>
          <w:sz w:val="18"/>
          <w:szCs w:val="18"/>
        </w:rPr>
        <w:t>Meeting Adjourned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1E3BAA">
      <w:type w:val="continuous"/>
      <w:pgSz w:w="12240" w:h="15840"/>
      <w:pgMar w:top="432" w:right="432" w:bottom="432" w:left="43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43E2">
      <w:r>
        <w:separator/>
      </w:r>
    </w:p>
  </w:endnote>
  <w:endnote w:type="continuationSeparator" w:id="0">
    <w:p w:rsidR="00000000" w:rsidRDefault="0050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E2" w:rsidRDefault="005043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AA" w:rsidRDefault="005043E2">
    <w:pPr>
      <w:pBdr>
        <w:top w:val="single" w:sz="24" w:space="1" w:color="000000"/>
      </w:pBdr>
      <w:tabs>
        <w:tab w:val="center" w:pos="4680"/>
        <w:tab w:val="right" w:pos="936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HHC Agenda v1.0</w:t>
    </w:r>
    <w:r>
      <w:rPr>
        <w:rFonts w:ascii="Cambria" w:eastAsia="Cambria" w:hAnsi="Cambria" w:cs="Cambria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1E3BAA" w:rsidRDefault="001E3BAA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E2" w:rsidRDefault="00504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43E2">
      <w:r>
        <w:separator/>
      </w:r>
    </w:p>
  </w:footnote>
  <w:footnote w:type="continuationSeparator" w:id="0">
    <w:p w:rsidR="00000000" w:rsidRDefault="0050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E2" w:rsidRDefault="00504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E2" w:rsidRPr="005043E2" w:rsidRDefault="005043E2">
    <w:pPr>
      <w:tabs>
        <w:tab w:val="center" w:pos="4680"/>
        <w:tab w:val="right" w:pos="9360"/>
      </w:tabs>
      <w:spacing w:before="720"/>
      <w:rPr>
        <w:sz w:val="20"/>
        <w:szCs w:val="20"/>
      </w:rPr>
    </w:pPr>
    <w:r>
      <w:rPr>
        <w:sz w:val="20"/>
        <w:szCs w:val="20"/>
      </w:rPr>
      <w:t>Posted 12/4/2017-8:30am-MK</w:t>
    </w:r>
    <w:bookmarkStart w:id="0" w:name="_GoBack"/>
    <w:bookmarkEnd w:id="0"/>
  </w:p>
  <w:p w:rsidR="001E3BAA" w:rsidRDefault="005043E2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>
          <wp:extent cx="6394450" cy="1016000"/>
          <wp:effectExtent l="0" t="0" r="0" b="0"/>
          <wp:docPr id="1" name="image2.jpg" descr="HHC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HC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E2" w:rsidRDefault="00504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F82"/>
    <w:multiLevelType w:val="multilevel"/>
    <w:tmpl w:val="53E27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532C2B"/>
    <w:multiLevelType w:val="multilevel"/>
    <w:tmpl w:val="4B1E2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AA"/>
    <w:rsid w:val="001E3BAA"/>
    <w:rsid w:val="0050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D0016-DA02-493C-B43D-A2FE4B9C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5F91"/>
      </w:pBdr>
      <w:spacing w:before="600" w:after="8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pPr>
      <w:spacing w:before="280" w:after="100"/>
      <w:outlineLvl w:val="5"/>
    </w:pPr>
    <w:rPr>
      <w:rFonts w:ascii="Cambria" w:eastAsia="Cambria" w:hAnsi="Cambria" w:cs="Cambria"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jc w:val="right"/>
    </w:pPr>
    <w:rPr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3E2"/>
  </w:style>
  <w:style w:type="paragraph" w:styleId="Footer">
    <w:name w:val="footer"/>
    <w:basedOn w:val="Normal"/>
    <w:link w:val="FooterChar"/>
    <w:uiPriority w:val="99"/>
    <w:unhideWhenUsed/>
    <w:rsid w:val="00504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Marlene Kenney</cp:lastModifiedBy>
  <cp:revision>2</cp:revision>
  <dcterms:created xsi:type="dcterms:W3CDTF">2017-12-04T13:32:00Z</dcterms:created>
  <dcterms:modified xsi:type="dcterms:W3CDTF">2017-12-04T13:32:00Z</dcterms:modified>
</cp:coreProperties>
</file>