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0327" w:rsidRDefault="00750327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Posted 7/25/2017 AT 1:05pm - MK</w:t>
      </w:r>
      <w:bookmarkStart w:id="0" w:name="_GoBack"/>
      <w:bookmarkEnd w:id="0"/>
    </w:p>
    <w:p w:rsidR="00402AEF" w:rsidRDefault="00C6356C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402AEF" w:rsidRDefault="00C6356C">
      <w:pPr>
        <w:tabs>
          <w:tab w:val="right" w:pos="9990"/>
        </w:tabs>
        <w:jc w:val="center"/>
      </w:pPr>
      <w:r>
        <w:t>____________</w:t>
      </w:r>
    </w:p>
    <w:p w:rsidR="00402AEF" w:rsidRDefault="00402AEF">
      <w:pPr>
        <w:tabs>
          <w:tab w:val="right" w:pos="9990"/>
        </w:tabs>
        <w:spacing w:after="120"/>
        <w:rPr>
          <w:sz w:val="18"/>
          <w:szCs w:val="18"/>
        </w:rPr>
      </w:pPr>
    </w:p>
    <w:p w:rsidR="00402AEF" w:rsidRDefault="00C6356C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in the Volunteer Room at the Town Hall, on Aug 2, 2017 at 7:00pm.</w:t>
      </w:r>
    </w:p>
    <w:p w:rsidR="00402AEF" w:rsidRDefault="00C6356C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402AEF" w:rsidRDefault="00402AEF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402AEF" w:rsidRDefault="00C6356C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402AEF" w:rsidRDefault="00C6356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402AEF">
          <w:headerReference w:type="default" r:id="rId7"/>
          <w:footerReference w:type="default" r:id="rId8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Steve Nigzus</w:t>
      </w:r>
      <w:r>
        <w:rPr>
          <w:sz w:val="18"/>
          <w:szCs w:val="18"/>
        </w:rPr>
        <w:br/>
        <w:t>George Triantaris</w:t>
      </w:r>
      <w:r>
        <w:rPr>
          <w:sz w:val="18"/>
          <w:szCs w:val="18"/>
        </w:rPr>
        <w:br/>
        <w:t>Daria Swanton</w:t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  <w:r>
        <w:rPr>
          <w:sz w:val="18"/>
          <w:szCs w:val="18"/>
        </w:rPr>
        <w:br/>
        <w:t>David Vannicola (Vice-Chair)</w:t>
      </w: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402AEF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MEMBERS IN ABSENTIA:</w:t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With Pam absent for this meeting, we’ll need a volunteer for a temporary secretary.</w:t>
      </w: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/>
        <w:t>AUDIENCE:</w:t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Ken Swanton</w:t>
      </w: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PUBLIC HEARING: (</w:t>
      </w:r>
      <w:r>
        <w:rPr>
          <w:sz w:val="18"/>
          <w:szCs w:val="18"/>
        </w:rPr>
        <w:t>None)</w:t>
      </w:r>
    </w:p>
    <w:p w:rsidR="00402AEF" w:rsidRDefault="00C6356C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</w:t>
      </w:r>
      <w:r>
        <w:rPr>
          <w:b/>
          <w:sz w:val="18"/>
          <w:szCs w:val="18"/>
        </w:rPr>
        <w:t xml:space="preserve">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APPLICATIONS: </w:t>
      </w:r>
      <w:r>
        <w:rPr>
          <w:sz w:val="18"/>
          <w:szCs w:val="18"/>
        </w:rPr>
        <w:t xml:space="preserve"> 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APPLICATIONS: </w:t>
      </w:r>
      <w:r>
        <w:rPr>
          <w:sz w:val="18"/>
          <w:szCs w:val="18"/>
        </w:rPr>
        <w:t>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402AEF" w:rsidRDefault="00C6356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BUSINESS:</w:t>
      </w:r>
    </w:p>
    <w:p w:rsidR="00402AEF" w:rsidRDefault="00C6356C">
      <w:pPr>
        <w:numPr>
          <w:ilvl w:val="0"/>
          <w:numId w:val="2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Ken Swanton to give overview of Old Library project</w:t>
      </w:r>
    </w:p>
    <w:p w:rsidR="00402AEF" w:rsidRDefault="00C6356C">
      <w:pPr>
        <w:numPr>
          <w:ilvl w:val="1"/>
          <w:numId w:val="2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No approval needed yet, but wanted to get feedback from committee while Architect is under contract</w:t>
      </w:r>
    </w:p>
    <w:p w:rsidR="00402AEF" w:rsidRDefault="00C6356C">
      <w:pPr>
        <w:numPr>
          <w:ilvl w:val="1"/>
          <w:numId w:val="2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Ken indicated this should take ~30mins</w:t>
      </w:r>
    </w:p>
    <w:p w:rsidR="00402AEF" w:rsidRDefault="00C6356C">
      <w:pPr>
        <w:numPr>
          <w:ilvl w:val="0"/>
          <w:numId w:val="2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HES Applicability to HHC purview.</w:t>
      </w:r>
    </w:p>
    <w:p w:rsidR="00402AEF" w:rsidRDefault="00C6356C">
      <w:pPr>
        <w:numPr>
          <w:ilvl w:val="1"/>
          <w:numId w:val="2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Email correspondence</w:t>
      </w:r>
    </w:p>
    <w:p w:rsidR="00402AEF" w:rsidRDefault="00C6356C">
      <w:pPr>
        <w:numPr>
          <w:ilvl w:val="1"/>
          <w:numId w:val="2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1973 intent on town maps</w:t>
      </w:r>
    </w:p>
    <w:p w:rsidR="00402AEF" w:rsidRDefault="00C6356C">
      <w:pPr>
        <w:numPr>
          <w:ilvl w:val="1"/>
          <w:numId w:val="2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Possible review by Town Council</w:t>
      </w:r>
    </w:p>
    <w:p w:rsidR="00402AEF" w:rsidRDefault="00C6356C">
      <w:pPr>
        <w:numPr>
          <w:ilvl w:val="1"/>
          <w:numId w:val="2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How does this board wish to interpret this</w:t>
      </w:r>
    </w:p>
    <w:p w:rsidR="00402AEF" w:rsidRDefault="00402AEF">
      <w:pPr>
        <w:tabs>
          <w:tab w:val="left" w:pos="720"/>
          <w:tab w:val="right" w:pos="9990"/>
        </w:tabs>
        <w:rPr>
          <w:sz w:val="18"/>
          <w:szCs w:val="18"/>
        </w:rPr>
      </w:pPr>
    </w:p>
    <w:p w:rsidR="00402AEF" w:rsidRDefault="00C6356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</w:t>
      </w:r>
    </w:p>
    <w:p w:rsidR="00402AEF" w:rsidRDefault="00C6356C">
      <w:pPr>
        <w:numPr>
          <w:ilvl w:val="0"/>
          <w:numId w:val="1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First Herb House brush clearing (PM)</w:t>
      </w:r>
    </w:p>
    <w:p w:rsidR="00402AEF" w:rsidRDefault="00C6356C">
      <w:pPr>
        <w:tabs>
          <w:tab w:val="left" w:pos="720"/>
          <w:tab w:val="right" w:pos="9990"/>
        </w:tabs>
        <w:ind w:left="720"/>
        <w:rPr>
          <w:sz w:val="18"/>
          <w:szCs w:val="18"/>
        </w:rPr>
      </w:pPr>
      <w:r>
        <w:rPr>
          <w:sz w:val="18"/>
          <w:szCs w:val="18"/>
        </w:rPr>
        <w:t>Via email:</w:t>
      </w:r>
    </w:p>
    <w:p w:rsidR="00402AEF" w:rsidRDefault="00C6356C">
      <w:pPr>
        <w:tabs>
          <w:tab w:val="left" w:pos="720"/>
          <w:tab w:val="right" w:pos="9990"/>
        </w:tabs>
        <w:ind w:left="720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 talked with Liz Allard about moving the cutting radius for the Herb House. She said that we cannot do it because there are specific guideline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s for wetlands areas and we needed to have filed an appeal within three weeks of their decision. (Evidently it was in the fine print which I did not read and did not think of at the time they made their decision.)</w:t>
      </w:r>
    </w:p>
    <w:p w:rsidR="00402AEF" w:rsidRDefault="00C6356C">
      <w:pPr>
        <w:tabs>
          <w:tab w:val="left" w:pos="720"/>
          <w:tab w:val="right" w:pos="9990"/>
        </w:tabs>
        <w:ind w:left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02AEF" w:rsidRDefault="00402AEF">
      <w:pPr>
        <w:tabs>
          <w:tab w:val="left" w:pos="720"/>
          <w:tab w:val="right" w:pos="9990"/>
        </w:tabs>
        <w:ind w:left="720"/>
        <w:rPr>
          <w:sz w:val="18"/>
          <w:szCs w:val="18"/>
        </w:rPr>
      </w:pPr>
    </w:p>
    <w:p w:rsidR="00402AEF" w:rsidRDefault="00402AEF">
      <w:pPr>
        <w:tabs>
          <w:tab w:val="left" w:pos="720"/>
          <w:tab w:val="right" w:pos="9990"/>
        </w:tabs>
        <w:ind w:left="720"/>
        <w:rPr>
          <w:sz w:val="18"/>
          <w:szCs w:val="18"/>
        </w:rPr>
      </w:pPr>
    </w:p>
    <w:p w:rsidR="00402AEF" w:rsidRDefault="00402AEF">
      <w:pPr>
        <w:tabs>
          <w:tab w:val="left" w:pos="720"/>
          <w:tab w:val="right" w:pos="9990"/>
        </w:tabs>
        <w:ind w:left="720"/>
        <w:rPr>
          <w:sz w:val="18"/>
          <w:szCs w:val="18"/>
        </w:rPr>
      </w:pPr>
    </w:p>
    <w:p w:rsidR="00402AEF" w:rsidRDefault="00402AEF">
      <w:pPr>
        <w:tabs>
          <w:tab w:val="left" w:pos="720"/>
          <w:tab w:val="right" w:pos="9990"/>
        </w:tabs>
        <w:ind w:left="720"/>
        <w:rPr>
          <w:sz w:val="18"/>
          <w:szCs w:val="18"/>
        </w:rPr>
      </w:pPr>
    </w:p>
    <w:p w:rsidR="00402AEF" w:rsidRDefault="00402AEF">
      <w:pPr>
        <w:tabs>
          <w:tab w:val="left" w:pos="720"/>
          <w:tab w:val="right" w:pos="9990"/>
        </w:tabs>
        <w:ind w:left="720"/>
        <w:rPr>
          <w:sz w:val="18"/>
          <w:szCs w:val="18"/>
        </w:rPr>
      </w:pPr>
    </w:p>
    <w:p w:rsidR="00402AEF" w:rsidRDefault="00C6356C">
      <w:pPr>
        <w:numPr>
          <w:ilvl w:val="0"/>
          <w:numId w:val="1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(PM)</w:t>
      </w:r>
    </w:p>
    <w:p w:rsidR="00402AEF" w:rsidRDefault="00C6356C">
      <w:pPr>
        <w:tabs>
          <w:tab w:val="left" w:pos="720"/>
          <w:tab w:val="right" w:pos="9990"/>
        </w:tabs>
        <w:ind w:left="720"/>
        <w:rPr>
          <w:sz w:val="18"/>
          <w:szCs w:val="18"/>
        </w:rPr>
      </w:pPr>
      <w:r>
        <w:rPr>
          <w:sz w:val="18"/>
          <w:szCs w:val="18"/>
        </w:rPr>
        <w:t>Via ema</w:t>
      </w:r>
      <w:r>
        <w:rPr>
          <w:sz w:val="18"/>
          <w:szCs w:val="18"/>
        </w:rPr>
        <w:t>il:</w:t>
      </w:r>
    </w:p>
    <w:p w:rsidR="00402AEF" w:rsidRDefault="00C6356C">
      <w:pPr>
        <w:tabs>
          <w:tab w:val="left" w:pos="720"/>
          <w:tab w:val="right" w:pos="9990"/>
        </w:tabs>
        <w:ind w:left="72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I talked with Marie about separating the wall rebuild into two projects because we did not have enough money to complete the whole project. No matter how I presented it she said we could not do it. Park and Rec had been granted $80,000 and anything over $5</w:t>
      </w:r>
      <w:r>
        <w:rPr>
          <w:rFonts w:ascii="Arial" w:eastAsia="Arial" w:hAnsi="Arial" w:cs="Arial"/>
          <w:color w:val="222222"/>
          <w:sz w:val="19"/>
          <w:szCs w:val="19"/>
        </w:rPr>
        <w:t>0,000 must go out to bid.</w:t>
      </w:r>
    </w:p>
    <w:p w:rsidR="00402AEF" w:rsidRDefault="00402AEF">
      <w:pPr>
        <w:tabs>
          <w:tab w:val="left" w:pos="720"/>
          <w:tab w:val="right" w:pos="9990"/>
        </w:tabs>
        <w:ind w:left="720"/>
        <w:rPr>
          <w:rFonts w:ascii="Arial" w:eastAsia="Arial" w:hAnsi="Arial" w:cs="Arial"/>
          <w:color w:val="222222"/>
          <w:sz w:val="19"/>
          <w:szCs w:val="19"/>
        </w:rPr>
      </w:pPr>
    </w:p>
    <w:p w:rsidR="00402AEF" w:rsidRDefault="00C6356C">
      <w:pPr>
        <w:tabs>
          <w:tab w:val="left" w:pos="720"/>
          <w:tab w:val="right" w:pos="9990"/>
        </w:tabs>
        <w:ind w:left="72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Manny fine tuned the RFP specs for the wall rebuild based on Joe Blue's description of what he had done previously. I had Joe Theriault look them over as well and he said that they looked very specific and concise. I presented them to Marie weeks ago and h</w:t>
      </w:r>
      <w:r>
        <w:rPr>
          <w:rFonts w:ascii="Arial" w:eastAsia="Arial" w:hAnsi="Arial" w:cs="Arial"/>
          <w:color w:val="222222"/>
          <w:sz w:val="19"/>
          <w:szCs w:val="19"/>
        </w:rPr>
        <w:t>ave not heard from her when they will be posted.</w:t>
      </w:r>
    </w:p>
    <w:p w:rsidR="00402AEF" w:rsidRDefault="00402AEF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</w:rPr>
      </w:pPr>
    </w:p>
    <w:p w:rsidR="00402AEF" w:rsidRDefault="00C6356C">
      <w:pPr>
        <w:numPr>
          <w:ilvl w:val="0"/>
          <w:numId w:val="1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Old Historical district signs (PM)</w:t>
      </w:r>
    </w:p>
    <w:p w:rsidR="00402AEF" w:rsidRDefault="00C6356C">
      <w:pPr>
        <w:tabs>
          <w:tab w:val="left" w:pos="72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ab/>
        <w:t>Via email:</w:t>
      </w:r>
    </w:p>
    <w:p w:rsidR="00402AEF" w:rsidRDefault="00C6356C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sz w:val="18"/>
          <w:szCs w:val="18"/>
        </w:rPr>
        <w:tab/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 thanked Tim Kilhart for having the boys put the cap on the post. I also thanked him for reinstalling and resetting the two historical district signs. Joe Th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eriault had indicated where to put them and Marie was involved as well.</w:t>
      </w:r>
    </w:p>
    <w:p w:rsidR="00402AEF" w:rsidRDefault="00402AEF">
      <w:pPr>
        <w:tabs>
          <w:tab w:val="left" w:pos="720"/>
          <w:tab w:val="right" w:pos="9990"/>
        </w:tabs>
        <w:rPr>
          <w:sz w:val="18"/>
          <w:szCs w:val="18"/>
        </w:rPr>
      </w:pPr>
    </w:p>
    <w:p w:rsidR="00402AEF" w:rsidRDefault="00C6356C">
      <w:pPr>
        <w:numPr>
          <w:ilvl w:val="0"/>
          <w:numId w:val="1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Town Center Signage (EL)</w:t>
      </w:r>
    </w:p>
    <w:p w:rsidR="00402AEF" w:rsidRDefault="00402AEF">
      <w:pPr>
        <w:tabs>
          <w:tab w:val="left" w:pos="720"/>
          <w:tab w:val="right" w:pos="9990"/>
        </w:tabs>
        <w:rPr>
          <w:sz w:val="18"/>
          <w:szCs w:val="18"/>
        </w:rPr>
      </w:pPr>
    </w:p>
    <w:p w:rsidR="00402AEF" w:rsidRDefault="00C6356C">
      <w:pPr>
        <w:numPr>
          <w:ilvl w:val="0"/>
          <w:numId w:val="1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How to tackle master plan assignments? (BG)</w:t>
      </w:r>
    </w:p>
    <w:p w:rsidR="00402AEF" w:rsidRDefault="00C6356C">
      <w:pPr>
        <w:numPr>
          <w:ilvl w:val="1"/>
          <w:numId w:val="1"/>
        </w:numPr>
        <w:tabs>
          <w:tab w:val="left" w:pos="720"/>
          <w:tab w:val="right" w:pos="999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I expect this may be tabled, due to time</w:t>
      </w:r>
    </w:p>
    <w:p w:rsidR="00402AEF" w:rsidRDefault="00402AEF">
      <w:pPr>
        <w:tabs>
          <w:tab w:val="left" w:pos="720"/>
          <w:tab w:val="right" w:pos="9990"/>
        </w:tabs>
        <w:rPr>
          <w:color w:val="FF0000"/>
          <w:sz w:val="18"/>
          <w:szCs w:val="18"/>
        </w:rPr>
      </w:pPr>
    </w:p>
    <w:p w:rsidR="00402AEF" w:rsidRDefault="00C6356C">
      <w:pPr>
        <w:tabs>
          <w:tab w:val="left" w:pos="72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CORRESPONDENCE:</w:t>
      </w:r>
      <w:r>
        <w:rPr>
          <w:sz w:val="18"/>
          <w:szCs w:val="18"/>
        </w:rPr>
        <w:t xml:space="preserve"> (none, other than HES applicability)                   </w:t>
      </w:r>
      <w:r>
        <w:rPr>
          <w:sz w:val="18"/>
          <w:szCs w:val="18"/>
        </w:rPr>
        <w:t xml:space="preserve">                                                                                    </w:t>
      </w:r>
    </w:p>
    <w:p w:rsidR="00402AEF" w:rsidRDefault="00402AEF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402AEF" w:rsidRDefault="00C6356C">
      <w:pPr>
        <w:tabs>
          <w:tab w:val="left" w:pos="720"/>
          <w:tab w:val="left" w:pos="144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402AEF" w:rsidRDefault="00C6356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402AEF" w:rsidRDefault="00C6356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402AEF" w:rsidRDefault="00C6356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402AEF" w:rsidRDefault="00C6356C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De</w:t>
      </w:r>
      <w:r>
        <w:rPr>
          <w:b/>
          <w:sz w:val="18"/>
          <w:szCs w:val="18"/>
        </w:rPr>
        <w:t xml:space="preserve">molition Delay Committee </w:t>
      </w:r>
      <w:r>
        <w:rPr>
          <w:sz w:val="18"/>
          <w:szCs w:val="18"/>
        </w:rPr>
        <w:t>(PM)</w:t>
      </w:r>
    </w:p>
    <w:p w:rsidR="00402AEF" w:rsidRDefault="00402AEF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402AEF" w:rsidRDefault="00402AEF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402AEF" w:rsidRDefault="00402AEF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402AEF" w:rsidRDefault="00C6356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402AEF" w:rsidRDefault="00C6356C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Sep 6, 2017</w:t>
      </w: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402AEF" w:rsidRDefault="00C6356C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02AEF" w:rsidRDefault="00402AEF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sectPr w:rsidR="00402AEF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6C" w:rsidRDefault="00C6356C">
      <w:r>
        <w:separator/>
      </w:r>
    </w:p>
  </w:endnote>
  <w:endnote w:type="continuationSeparator" w:id="0">
    <w:p w:rsidR="00C6356C" w:rsidRDefault="00C6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EF" w:rsidRDefault="00C6356C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750327">
      <w:rPr>
        <w:rFonts w:ascii="Calibri" w:eastAsia="Calibri" w:hAnsi="Calibri" w:cs="Calibri"/>
      </w:rPr>
      <w:fldChar w:fldCharType="separate"/>
    </w:r>
    <w:r w:rsidR="00750327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402AEF" w:rsidRDefault="00402AEF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6C" w:rsidRDefault="00C6356C">
      <w:r>
        <w:separator/>
      </w:r>
    </w:p>
  </w:footnote>
  <w:footnote w:type="continuationSeparator" w:id="0">
    <w:p w:rsidR="00C6356C" w:rsidRDefault="00C6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EF" w:rsidRDefault="00C6356C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A0F57"/>
    <w:multiLevelType w:val="multilevel"/>
    <w:tmpl w:val="7AD823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C912300"/>
    <w:multiLevelType w:val="multilevel"/>
    <w:tmpl w:val="FD2C3B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F"/>
    <w:rsid w:val="00402AEF"/>
    <w:rsid w:val="00750327"/>
    <w:rsid w:val="00C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D7804-CDEF-4578-8AF4-B2D795C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McDougall</dc:creator>
  <cp:lastModifiedBy>Amy McDougall</cp:lastModifiedBy>
  <cp:revision>2</cp:revision>
  <dcterms:created xsi:type="dcterms:W3CDTF">2017-07-25T17:02:00Z</dcterms:created>
  <dcterms:modified xsi:type="dcterms:W3CDTF">2017-07-25T17:02:00Z</dcterms:modified>
</cp:coreProperties>
</file>